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3E3A6">
      <w:pPr>
        <w:rPr>
          <w:rFonts w:hint="default" w:ascii="Times New Roman" w:hAnsi="Times New Roman" w:eastAsia="黑体" w:cs="Times New Roman"/>
          <w:highlight w:val="none"/>
          <w:lang w:val="en-US" w:eastAsia="zh-CN"/>
        </w:rPr>
      </w:pPr>
      <w:bookmarkStart w:id="0" w:name="_Toc1901"/>
      <w:bookmarkStart w:id="1" w:name="_Toc29812"/>
      <w:r>
        <w:rPr>
          <w:rFonts w:hint="default" w:ascii="Times New Roman" w:hAnsi="Times New Roman" w:eastAsia="黑体" w:cs="Times New Roman"/>
          <w:highlight w:val="none"/>
          <w:lang w:val="en-US" w:eastAsia="zh-CN"/>
        </w:rPr>
        <w:t>附件</w:t>
      </w:r>
      <w:r>
        <w:rPr>
          <w:rFonts w:hint="eastAsia" w:eastAsia="黑体" w:cs="Times New Roman"/>
          <w:highlight w:val="none"/>
          <w:lang w:val="en-US" w:eastAsia="zh-CN"/>
        </w:rPr>
        <w:t>5</w:t>
      </w:r>
    </w:p>
    <w:p w14:paraId="032E4835">
      <w:pPr>
        <w:rPr>
          <w:rFonts w:hint="default" w:ascii="Times New Roman" w:hAnsi="Times New Roman" w:cs="Times New Roman"/>
          <w:sz w:val="32"/>
          <w:szCs w:val="20"/>
          <w:highlight w:val="none"/>
          <w:lang w:val="en-US" w:eastAsia="zh-CN"/>
        </w:rPr>
      </w:pPr>
    </w:p>
    <w:p w14:paraId="59DBE22A">
      <w:pPr>
        <w:widowControl/>
        <w:jc w:val="center"/>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本科教学工作合格评估建档规范要求</w:t>
      </w:r>
      <w:bookmarkEnd w:id="0"/>
      <w:bookmarkEnd w:id="1"/>
    </w:p>
    <w:p w14:paraId="56DBD155">
      <w:pPr>
        <w:pageBreakBefore w:val="0"/>
        <w:widowControl w:val="0"/>
        <w:numPr>
          <w:ilvl w:val="0"/>
          <w:numId w:val="0"/>
        </w:numPr>
        <w:shd w:val="clear" w:color="auto" w:fill="FFFFFF"/>
        <w:kinsoku/>
        <w:wordWrap/>
        <w:overflowPunct/>
        <w:topLinePunct w:val="0"/>
        <w:autoSpaceDE/>
        <w:autoSpaceDN/>
        <w:bidi w:val="0"/>
        <w:adjustRightInd w:val="0"/>
        <w:snapToGrid/>
        <w:spacing w:line="600" w:lineRule="exact"/>
        <w:ind w:firstLine="600" w:firstLineChars="200"/>
        <w:jc w:val="both"/>
        <w:textAlignment w:val="auto"/>
        <w:rPr>
          <w:rFonts w:hint="default" w:ascii="Times New Roman" w:hAnsi="Times New Roman" w:cs="Times New Roman" w:eastAsiaTheme="minorEastAsia"/>
          <w:color w:val="000000" w:themeColor="text1"/>
          <w:kern w:val="0"/>
          <w:sz w:val="30"/>
          <w:szCs w:val="30"/>
          <w:highlight w:val="none"/>
          <w:lang w:val="en-US" w:eastAsia="zh-CN"/>
          <w14:textFill>
            <w14:solidFill>
              <w14:schemeClr w14:val="tx1"/>
            </w14:solidFill>
          </w14:textFill>
        </w:rPr>
      </w:pPr>
    </w:p>
    <w:p w14:paraId="304D0C55">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为使学校本科教学工作合格评估材料的准备常态化、科学化、规范化，充分展示学校本科教学工作的评建效果，现根据</w:t>
      </w:r>
      <w:r>
        <w:rPr>
          <w:rFonts w:hint="default" w:ascii="Times New Roman" w:hAnsi="Times New Roman" w:eastAsia="仿宋_GB2312" w:cs="Times New Roman"/>
          <w:color w:val="auto"/>
          <w:kern w:val="0"/>
          <w:sz w:val="32"/>
          <w:szCs w:val="32"/>
          <w:highlight w:val="none"/>
          <w:lang w:val="en-US" w:eastAsia="zh-CN"/>
        </w:rPr>
        <w:t>《湖州学院档案管理办法》《湖州学院通用文件排版格式》《湖州学院教学档案管理办法》等文件要求</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，结合工作实际，作出以下规范和要求：</w:t>
      </w:r>
    </w:p>
    <w:p w14:paraId="14166A02">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t>一、总体要求</w:t>
      </w:r>
    </w:p>
    <w:p w14:paraId="7F5976E5">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（一）高度重视，明确任务</w:t>
      </w:r>
    </w:p>
    <w:p w14:paraId="011D6EAE">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本科教学工作合格评估材料数量繁多，涉及面广，各部门和二级学院负责人一定要组织教师和员工仔细研读合格评估实施方案，深入理解指标内涵，理清指标材料清单，严格按照学校要求，明确自身任务并认真完成。各部门和二级学院要结合工作实际，理清各级材料的层次关系，明晰不同材料的逻辑联系，认真对照支撑材料目录编撰和收集针对性强的支撑材料；同时要有创造性、主动地完善支撑材料目录，确保各观测点的材料针对性强、完整性高，重点突出，有说服力。</w:t>
      </w:r>
    </w:p>
    <w:p w14:paraId="57312082">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（二）求真务实，协调统一</w:t>
      </w:r>
    </w:p>
    <w:p w14:paraId="662B33F0">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本科教学工作合格评估提倡</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“阳光评估”</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特别要求参评学校的数据填报和材料准备要体现原始性和真实性，强调材料应该是在教学工作过程中产生的，应该是教学工作的自然结果，应该是对教学工作的客观反映。各部门和二级学院务必要以真实性和原始性为材料建档的首要原则，坚持实事求是，不造假、不作假，确保各项材料客观、真实、准确地反映学校教学工作。同时还要注意校级材料与部门材料、二级学院材料的一致性和协同性，做到有机联系、层层支撑，保证学校、各部门、各二级学院数据协调统一，互为支撑，避免出现自相矛盾、彼此矛盾、数据错位等问题。</w:t>
      </w:r>
    </w:p>
    <w:p w14:paraId="339E7C5F">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（三）口径一致，准确规范</w:t>
      </w:r>
    </w:p>
    <w:p w14:paraId="3EACC6EF">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由于部分材料涉及部门众多，在统计与分析时务必要做到口径一致，确保数据的精准到位。在时间口径上，宣传、财务、资产、科研、基建和图书信息材料以自然年度为统计单位，统计评估当年及前两年的各项数据；教务、学工、教学质量等其他工作的材料均以学年度为统计单位，统计评估时该学年及前两个学年的各项数据。部分反映学校、二级学院等办学历史、办学特色的材料则可不受时间限制。</w:t>
      </w:r>
    </w:p>
    <w:p w14:paraId="30586562">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各部门和二级学院在统一口径的同时，还需保证材料的规范性。所有材料要求分类准确，编目清楚，排版整齐美观，存放有序。要按照学校的格式规范要求，严格做到结构统一、格式统一、装订（盒）统一，保证在本科教学工作合格评估中专家调用材料的方便、快捷。</w:t>
      </w:r>
    </w:p>
    <w:p w14:paraId="6355178A">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t>二、材料的层级与种类</w:t>
      </w:r>
    </w:p>
    <w:p w14:paraId="34A81F8B">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（一）材料的层级</w:t>
      </w:r>
    </w:p>
    <w:p w14:paraId="25E38AB7">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学校层面的材料：是指学校组织填报的高等教育质量监测数据、撰写的自评报告与校长报告、对照评估指标体系编</w:t>
      </w:r>
      <w:bookmarkStart w:id="2" w:name="_GoBack"/>
      <w:bookmarkEnd w:id="2"/>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制的支撑材料、制作的宣传片、编制的专家手册等。由评建办牵头，各职能部门和二级学院协助完成。</w:t>
      </w:r>
    </w:p>
    <w:p w14:paraId="6C3284BB">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各职能部门层面的材料：是指对照校级支撑材料目录编撰的各项综述性材料、专项自评报告、汇编材料及对应的日常运行原始材料等。由各职能部门在相关单位的协助下自主完成。</w:t>
      </w:r>
    </w:p>
    <w:p w14:paraId="52AFCA9F">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二级学院层面的材料：是指按照评估指标体系建立的完整的学院材料体系（参照校级支撑材料目录、二级学院共性材料目录自建学院材料目录并建档）以及学院自评报告、汇报材料和各项原始材料等。由各二级学院在相关单位的协助下自主完成。</w:t>
      </w:r>
    </w:p>
    <w:p w14:paraId="5E7A9A56">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（二）材料的类别</w:t>
      </w:r>
    </w:p>
    <w:p w14:paraId="154C7EFE">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3" w:firstLineChars="200"/>
        <w:jc w:val="both"/>
        <w:textAlignment w:val="auto"/>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pPr>
      <w:r>
        <w:rPr>
          <w:rFonts w:hint="eastAsia" w:ascii="Times New Roman" w:hAnsi="Times New Roman" w:cs="Times New Roman"/>
          <w:b/>
          <w:bCs/>
          <w:color w:val="000000" w:themeColor="text1"/>
          <w:kern w:val="0"/>
          <w:sz w:val="32"/>
          <w:szCs w:val="32"/>
          <w:highlight w:val="none"/>
          <w:lang w:val="en-US" w:eastAsia="zh-CN"/>
          <w14:textFill>
            <w14:solidFill>
              <w14:schemeClr w14:val="tx1"/>
            </w14:solidFill>
          </w14:textFill>
        </w:rPr>
        <w:t>1.</w:t>
      </w:r>
      <w:r>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报送材料</w:t>
      </w:r>
    </w:p>
    <w:p w14:paraId="6CB1E763">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指学校组织填报的高等教育质量监测数据，撰写的自评报告，专家工作手册和专家案头材料（含学校机构设置、学校规划、学校领导与中层领导简介、宣传片、评估指标体系支撑材料目录、教职工名册、课表、试卷和论文名录、实习实训基地一览表、联络员信息等）。此项材料需上报教育部或送呈到专家手头。</w:t>
      </w:r>
    </w:p>
    <w:p w14:paraId="678F04CF">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2</w:t>
      </w:r>
      <w:r>
        <w:rPr>
          <w:rFonts w:hint="eastAsia" w:ascii="Times New Roman" w:hAnsi="Times New Roman" w:cs="Times New Roman"/>
          <w:b/>
          <w:bCs/>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指标体系支撑材料</w:t>
      </w:r>
    </w:p>
    <w:p w14:paraId="15ECB654">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指学校围绕合格评估指标体系各级指标内涵建立的各项支撑材料。支撑材料中的各项材料，大多是通过对原始材料进行一定加工、提炼后形成，包括诸多的综述材料和数据一览表等分析。此项材料是针对各观测点的综述、总结、综合分析或说明等，是专为评估而撰写的相应材料，也是专家进校后重点查阅的材料之一。校级的支撑材料是在各职能部门和二级学院提供的材料基础之上二次加工形成，存放于评建办。二级学院的支撑材料存放于本单位。</w:t>
      </w:r>
    </w:p>
    <w:p w14:paraId="35F52B62">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3</w:t>
      </w:r>
      <w:r>
        <w:rPr>
          <w:rFonts w:hint="eastAsia" w:ascii="Times New Roman" w:hAnsi="Times New Roman" w:cs="Times New Roman"/>
          <w:b/>
          <w:bCs/>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原始材料</w:t>
      </w:r>
    </w:p>
    <w:p w14:paraId="39ABD9A4">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指在学校工作过程中产生的各类足以证明各观测点的原始文件、活动记录、照片、印刷材料等更为详实具体的工作材料，是在工作过程中形成的，不需要特别撰写。此项材料重在日常的收集与整理，一方面是对指标体系支撑材料的一个佐证，另一方面则是对学校日常教学工作过程的一个记录。材料通常留存在各职能部门和二级学院，专家进校后可按需调阅。</w:t>
      </w:r>
    </w:p>
    <w:p w14:paraId="7A85EC71">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（三）材料的种类</w:t>
      </w:r>
    </w:p>
    <w:p w14:paraId="25E511B1">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文字材料：指各类文件、规划、方案、纪要、制度、工作计划和总结、记录及教学文件和教学档案等文本材料。</w:t>
      </w:r>
    </w:p>
    <w:p w14:paraId="42FD418D">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统计材料：指各类数据统计表格、报表和名册等。</w:t>
      </w:r>
    </w:p>
    <w:p w14:paraId="510B10B1">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3</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声像材料：指各项活动照片、录像带、声像光盘等。</w:t>
      </w:r>
    </w:p>
    <w:p w14:paraId="33A22598">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证书材料：指各级荣誉证书、获奖证书、成果鉴定证书等。</w:t>
      </w:r>
    </w:p>
    <w:p w14:paraId="047614AF">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实物材料：指各类获奖作品、科技作品、著作、教材、高级别论文期刊、锦旗、奖杯等。</w:t>
      </w:r>
    </w:p>
    <w:p w14:paraId="3529839B">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其他材料：指能反映教学工作水平和人才培养质量的其他类型材料。</w:t>
      </w:r>
    </w:p>
    <w:p w14:paraId="62F76F1D">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t>三、材料的格式</w:t>
      </w:r>
    </w:p>
    <w:p w14:paraId="149E4586">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（一）编码规则</w:t>
      </w:r>
    </w:p>
    <w:p w14:paraId="009CA71B">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支撑材料的编码按照评估指标体系进行，各原始材料按对应的指标体系进行归档整理，如无法归档的可根据材料主题单独编码。</w:t>
      </w:r>
    </w:p>
    <w:p w14:paraId="69C8C1C3">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度量单位及数字格式：</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材料中出现的度量单位按国际标准度量单位，</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如面积用“平方米”，金额用“元”；量词应统一，如师生数用“人”，图书用“册”，计算机用“台”，座位数用“个”</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等。材料中出现的两位及其以上数字统一用阿拉伯数字表示，小数点后面统一保留两位有效数字。需要落款的材料，年份日期均使用阿拉伯数字写全（如2024年3月1日）。</w:t>
      </w:r>
    </w:p>
    <w:p w14:paraId="4824D49B">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（二）材料目录格式</w:t>
      </w:r>
    </w:p>
    <w:p w14:paraId="0AFF8632">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目录设置：评估材料目录共分五级：</w:t>
      </w:r>
    </w:p>
    <w:p w14:paraId="09D46ADE">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一级目录：普通高等学校本科教学工作合格评估指标体系（教高厅〔2011〕2号）中的一级指标；</w:t>
      </w:r>
    </w:p>
    <w:p w14:paraId="4964B949">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二级目录：普通高等学校本科教学工作合格评估指标体系（教高厅〔2011〕2号）中的二级指标；</w:t>
      </w:r>
    </w:p>
    <w:p w14:paraId="7BC3ABE3">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三级目录：普通高等学校本科教学工作合格评估指标体系（教高厅〔2011〕2号）中的主要观测点；</w:t>
      </w:r>
    </w:p>
    <w:p w14:paraId="00131DE8">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四级目录：为说明</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“主要观测点”</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的支撑材料类目；</w:t>
      </w:r>
    </w:p>
    <w:p w14:paraId="0C782599">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五级目录：为说明</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“四级目录”</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所需要的支撑材料类目；</w:t>
      </w:r>
    </w:p>
    <w:p w14:paraId="38B035FA">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目录格式：五级均以阿拉伯数字</w:t>
      </w:r>
      <w:r>
        <w:rPr>
          <w:rFonts w:hint="eastAsia" w:ascii="Times New Roman" w:hAnsi="Times New Roman" w:cs="Times New Roman"/>
          <w:b/>
          <w:bCs/>
          <w:color w:val="000000" w:themeColor="text1"/>
          <w:kern w:val="0"/>
          <w:sz w:val="32"/>
          <w:szCs w:val="32"/>
          <w:highlight w:val="none"/>
          <w:lang w:val="en-US" w:eastAsia="zh-CN"/>
          <w14:textFill>
            <w14:solidFill>
              <w14:schemeClr w14:val="tx1"/>
            </w14:solidFill>
          </w14:textFill>
        </w:rPr>
        <w:t>（Times New Roman字体）</w:t>
      </w:r>
      <w:r>
        <w:rPr>
          <w:rFonts w:hint="default"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逐级标示：</w:t>
      </w:r>
    </w:p>
    <w:p w14:paraId="2FAE2DB9">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一级目录：编号为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…等。</w:t>
      </w:r>
    </w:p>
    <w:p w14:paraId="56E84D73">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二级目录：编号为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…等。</w:t>
      </w:r>
    </w:p>
    <w:p w14:paraId="1BA70333">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三级目录：编号为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1.1.1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1.1.2</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…等。</w:t>
      </w:r>
    </w:p>
    <w:p w14:paraId="46069656">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四级目录：编号为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1.1.1.1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1.1.1.2</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…等。</w:t>
      </w:r>
    </w:p>
    <w:p w14:paraId="731BB80D">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五级目录：编号为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1.1.1.1</w:t>
      </w:r>
      <w:r>
        <w:rPr>
          <w:rFonts w:hint="eastAsia" w:cs="Times New Roman"/>
          <w:color w:val="000000" w:themeColor="text1"/>
          <w:kern w:val="0"/>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1.1.1.</w:t>
      </w:r>
      <w:r>
        <w:rPr>
          <w:rFonts w:hint="eastAsia" w:cs="Times New Roman"/>
          <w:color w:val="000000" w:themeColor="text1"/>
          <w:kern w:val="0"/>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…等。</w:t>
      </w:r>
    </w:p>
    <w:p w14:paraId="17910EA4">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t>四、材料的整理</w:t>
      </w:r>
    </w:p>
    <w:p w14:paraId="3A40C3DB">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eastAsia"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（一）格式要求</w:t>
      </w:r>
    </w:p>
    <w:p w14:paraId="102611FE">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kern w:val="0"/>
          <w:sz w:val="32"/>
          <w:szCs w:val="32"/>
          <w:highlight w:val="none"/>
          <w:lang w:val="en-US" w:eastAsia="zh-CN"/>
        </w:rPr>
        <w:t>支撑材料格式按学校档案管理要求执行</w:t>
      </w:r>
      <w:r>
        <w:rPr>
          <w:rFonts w:hint="default" w:ascii="Times New Roman" w:hAnsi="Times New Roman" w:eastAsia="仿宋_GB2312" w:cs="Times New Roman"/>
          <w:kern w:val="0"/>
          <w:sz w:val="32"/>
          <w:szCs w:val="32"/>
          <w:lang w:val="en-US" w:eastAsia="zh-CN"/>
        </w:rPr>
        <w:t>，业务档案按业务主管部门相关要求执行，教学档案按教学主管部门相关要求执行</w:t>
      </w:r>
      <w:r>
        <w:rPr>
          <w:rFonts w:hint="eastAsia" w:ascii="Times New Roman" w:hAnsi="Times New Roman" w:cs="Times New Roman"/>
          <w:kern w:val="0"/>
          <w:sz w:val="32"/>
          <w:szCs w:val="32"/>
          <w:lang w:val="en-US" w:eastAsia="zh-CN"/>
        </w:rPr>
        <w:t>，其他没有具体要求的材料按以下要求整理。</w:t>
      </w:r>
    </w:p>
    <w:p w14:paraId="48ED0C1B">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eastAsia" w:ascii="仿宋_GB2312" w:hAnsi="仿宋_GB2312" w:eastAsia="仿宋_GB2312" w:cs="仿宋_GB2312"/>
          <w:b/>
          <w:bCs/>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lang w:val="en-US" w:eastAsia="zh-CN"/>
          <w14:textFill>
            <w14:solidFill>
              <w14:schemeClr w14:val="tx1"/>
            </w14:solidFill>
          </w14:textFill>
        </w:rPr>
        <w:t>1.原始材料的整理</w:t>
      </w:r>
    </w:p>
    <w:p w14:paraId="3B6FB4C8">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文字材料按照原形态存放，纸质脆弱的材料可粘贴在A4复印纸上存放。强烈建议同时扫描存为电子版。</w:t>
      </w:r>
    </w:p>
    <w:p w14:paraId="084F63BB">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照片等声像材料（含光盘）装档案袋后分类保存，并标明内容与数量。各类证书由收集单位统一扫描刻盘存档，复印件按需提供。获奖作品、科技作品等实物材料须拍制照片（或扫描），著作、教材须复印封面和版权页，论文须复印封面、目录、正文。所有声像、证书、实物材料要列出清单，原件留在本单位或教工、学生本人手头备查。</w:t>
      </w:r>
    </w:p>
    <w:p w14:paraId="75DF3FBA">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仿宋_GB2312" w:hAnsi="仿宋_GB2312" w:eastAsia="仿宋_GB2312" w:cs="仿宋_GB2312"/>
          <w:b/>
          <w:bCs/>
          <w:color w:val="000000" w:themeColor="text1"/>
          <w:kern w:val="0"/>
          <w:sz w:val="32"/>
          <w:szCs w:val="32"/>
          <w:highlight w:val="none"/>
          <w:lang w:val="en-US" w:eastAsia="zh-CN"/>
          <w14:textFill>
            <w14:solidFill>
              <w14:schemeClr w14:val="tx1"/>
            </w14:solidFill>
          </w14:textFill>
        </w:rPr>
      </w:pPr>
      <w:r>
        <w:rPr>
          <w:rFonts w:hint="eastAsia" w:ascii="仿宋_GB2312" w:hAnsi="仿宋_GB2312" w:cs="仿宋_GB2312"/>
          <w:b/>
          <w:bCs/>
          <w:color w:val="000000" w:themeColor="text1"/>
          <w:kern w:val="0"/>
          <w:sz w:val="32"/>
          <w:szCs w:val="32"/>
          <w:highlight w:val="none"/>
          <w:lang w:val="en-US" w:eastAsia="zh-CN"/>
          <w14:textFill>
            <w14:solidFill>
              <w14:schemeClr w14:val="tx1"/>
            </w14:solidFill>
          </w14:textFill>
        </w:rPr>
        <w:t>2.</w:t>
      </w:r>
      <w:r>
        <w:rPr>
          <w:rFonts w:hint="default" w:ascii="仿宋_GB2312" w:hAnsi="仿宋_GB2312" w:eastAsia="仿宋_GB2312" w:cs="仿宋_GB2312"/>
          <w:b/>
          <w:bCs/>
          <w:color w:val="000000" w:themeColor="text1"/>
          <w:kern w:val="0"/>
          <w:sz w:val="32"/>
          <w:szCs w:val="32"/>
          <w:highlight w:val="none"/>
          <w:lang w:val="en-US" w:eastAsia="zh-CN"/>
          <w14:textFill>
            <w14:solidFill>
              <w14:schemeClr w14:val="tx1"/>
            </w14:solidFill>
          </w14:textFill>
        </w:rPr>
        <w:t>WORD文档材料的整理</w:t>
      </w:r>
    </w:p>
    <w:p w14:paraId="53C7BC71">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其他以文本为主的材料均采用WORD文档格式。WORD文档命名规则为：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“归属材料目录+文件名”</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w:t>
      </w:r>
    </w:p>
    <w:p w14:paraId="50EA5E54">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材料标题中文统一使用宋体，二号加粗。标题可分一行或多行居中，如需分行，要做到词义完整，排列对称，副标题三号楷体。</w:t>
      </w:r>
    </w:p>
    <w:p w14:paraId="2CF4C794">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材料正文中文统一用宋体，小四号，行间距1.5倍行距。对齐方式：左对齐。特殊格式：首行缩进2字符。文档中如有表格，其文本的字号可根据实际内容做相应调整，整个表格需居中对齐。</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英文字母和数值使用Times New Roman字体</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w:t>
      </w:r>
    </w:p>
    <w:p w14:paraId="11C6AB64">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页面设置上，页边距为默认格式（上、下2.54厘米，左、右3.1</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厘米）。装订线位置为左侧。</w:t>
      </w:r>
    </w:p>
    <w:p w14:paraId="4EF25EBF">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正文中的各级标题序号格式为：一级标题序号：一、二、三、……（黑体）；二级标题序号：</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（一）（二）（三）</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……（加粗）；三级标题序号：1. 2. 3. ……；四级标题序号：</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（1）（2）（3）</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……；五级标题序号：① ② ③ ……。</w:t>
      </w:r>
    </w:p>
    <w:p w14:paraId="3DE5FD77">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除单页材料外，多页必须添加页码，使用阿拉伯数字在页面底端居中。所有文本材料均需署成文单位名称，署名位置在正文结束后另起一段以右对齐的形式署成文单位全称，不能使用简称。在下一行相应处标识成文日期（×年×月×日）。如需加盖公章，盖章位置统一在成文单位名称上。</w:t>
      </w:r>
    </w:p>
    <w:p w14:paraId="146263F5">
      <w:pPr>
        <w:keepNext w:val="0"/>
        <w:keepLines w:val="0"/>
        <w:widowControl/>
        <w:suppressLineNumbers w:val="0"/>
        <w:spacing w:line="560" w:lineRule="exact"/>
        <w:ind w:firstLine="640" w:firstLineChars="200"/>
        <w:jc w:val="left"/>
        <w:rPr>
          <w:rFonts w:hint="default" w:ascii="Times New Roman" w:hAnsi="Times New Roman" w:cs="Times New Roman"/>
          <w:szCs w:val="32"/>
          <w:highlight w:val="none"/>
        </w:rPr>
      </w:pPr>
      <w:r>
        <w:rPr>
          <w:rFonts w:hint="default" w:ascii="Times New Roman" w:hAnsi="Times New Roman" w:eastAsia="仿宋_GB2312" w:cs="Times New Roman"/>
          <w:color w:val="000000"/>
          <w:kern w:val="0"/>
          <w:sz w:val="32"/>
          <w:szCs w:val="32"/>
          <w:highlight w:val="none"/>
          <w:lang w:val="en-US" w:eastAsia="zh-CN" w:bidi="ar"/>
        </w:rPr>
        <w:t>如有附件，在正文下空一行左空二字编排</w:t>
      </w:r>
      <w:r>
        <w:rPr>
          <w:rFonts w:hint="eastAsia" w:ascii="仿宋_GB2312" w:hAnsi="仿宋_GB2312" w:eastAsia="仿宋_GB2312" w:cs="仿宋_GB2312"/>
          <w:color w:val="000000"/>
          <w:kern w:val="0"/>
          <w:sz w:val="32"/>
          <w:szCs w:val="32"/>
          <w:highlight w:val="none"/>
          <w:lang w:val="en-US" w:eastAsia="zh-CN" w:bidi="ar"/>
        </w:rPr>
        <w:t>“附件”</w:t>
      </w:r>
      <w:r>
        <w:rPr>
          <w:rFonts w:hint="default" w:ascii="Times New Roman" w:hAnsi="Times New Roman" w:eastAsia="仿宋_GB2312" w:cs="Times New Roman"/>
          <w:color w:val="000000"/>
          <w:kern w:val="0"/>
          <w:sz w:val="32"/>
          <w:szCs w:val="32"/>
          <w:highlight w:val="none"/>
          <w:lang w:val="en-US" w:eastAsia="zh-CN" w:bidi="ar"/>
        </w:rPr>
        <w:t>二字，后标全角冒号和附件名称。如有多个附件，使用阿拉伯数字标注附件顺序号；附件名称后不加标点符号。</w:t>
      </w:r>
    </w:p>
    <w:p w14:paraId="4AD0EFC2">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仿宋_GB2312" w:hAnsi="仿宋_GB2312" w:eastAsia="仿宋_GB2312" w:cs="仿宋_GB2312"/>
          <w:b/>
          <w:bCs/>
          <w:color w:val="000000" w:themeColor="text1"/>
          <w:kern w:val="0"/>
          <w:sz w:val="32"/>
          <w:szCs w:val="32"/>
          <w:highlight w:val="none"/>
          <w:lang w:val="en-US" w:eastAsia="zh-CN"/>
          <w14:textFill>
            <w14:solidFill>
              <w14:schemeClr w14:val="tx1"/>
            </w14:solidFill>
          </w14:textFill>
        </w:rPr>
      </w:pPr>
      <w:r>
        <w:rPr>
          <w:rFonts w:hint="eastAsia" w:ascii="仿宋_GB2312" w:hAnsi="仿宋_GB2312" w:cs="仿宋_GB2312"/>
          <w:b/>
          <w:bCs/>
          <w:color w:val="000000" w:themeColor="text1"/>
          <w:kern w:val="0"/>
          <w:sz w:val="32"/>
          <w:szCs w:val="32"/>
          <w:highlight w:val="none"/>
          <w:lang w:val="en-US" w:eastAsia="zh-CN"/>
          <w14:textFill>
            <w14:solidFill>
              <w14:schemeClr w14:val="tx1"/>
            </w14:solidFill>
          </w14:textFill>
        </w:rPr>
        <w:t>3.</w:t>
      </w:r>
      <w:r>
        <w:rPr>
          <w:rFonts w:hint="default" w:ascii="仿宋_GB2312" w:hAnsi="仿宋_GB2312" w:eastAsia="仿宋_GB2312" w:cs="仿宋_GB2312"/>
          <w:b/>
          <w:bCs/>
          <w:color w:val="000000" w:themeColor="text1"/>
          <w:kern w:val="0"/>
          <w:sz w:val="32"/>
          <w:szCs w:val="32"/>
          <w:highlight w:val="none"/>
          <w:lang w:val="en-US" w:eastAsia="zh-CN"/>
          <w14:textFill>
            <w14:solidFill>
              <w14:schemeClr w14:val="tx1"/>
            </w14:solidFill>
          </w14:textFill>
        </w:rPr>
        <w:t>EXCEL数据材料的整理</w:t>
      </w:r>
    </w:p>
    <w:p w14:paraId="2CFBBED4">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数据较多或纯数据形式的材料统一使用EXCEL表格格式。文档命名规则与WORD文档要求一致。</w:t>
      </w:r>
    </w:p>
    <w:p w14:paraId="6E559524">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标题中文用宋体，14磅加粗，行高40磅，也可根据实际情况自行调整。标题行是对所有项目列采用</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“合并及居中”</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的形式产生。</w:t>
      </w:r>
    </w:p>
    <w:p w14:paraId="20E98D45">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其他表格中单位名称、项目名称及数据合计行中文用宋体，1</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woUserID w:val="1"/>
        </w:rPr>
        <w:t>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磅加粗，其他各单元格中文用宋体。所有行高不低于20磅，可根据实际内容进行调整。数据类型可采取常规、数值、文本等，数值型数据如有小数，小数点后保留2位</w:t>
      </w:r>
      <w:r>
        <w:rPr>
          <w:rFonts w:hint="eastAsia" w:ascii="Times New Roman" w:hAnsi="Times New Roman" w:cs="Times New Roman"/>
          <w:color w:val="000000" w:themeColor="text1"/>
          <w:kern w:val="0"/>
          <w:sz w:val="32"/>
          <w:szCs w:val="32"/>
          <w:highlight w:val="none"/>
          <w:lang w:val="en-US" w:eastAsia="zh-CN"/>
          <w14:textFill>
            <w14:solidFill>
              <w14:schemeClr w14:val="tx1"/>
            </w14:solidFill>
          </w14:textFill>
        </w:rPr>
        <w:t>。英文字母和数值使用Times New Roman字体</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w:t>
      </w:r>
    </w:p>
    <w:p w14:paraId="6A6219BC">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页面设置上，页边距为默认格式，居中方式为水平。项目名称行要求水平居中对齐，其他各单元格根据实际情况采取相应的对齐方式。除单页材料外，多页必须添加页脚。</w:t>
      </w:r>
    </w:p>
    <w:p w14:paraId="4571A05F">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所有材料均需注明填表单位及填表人，如需加盖公章，盖章位置统一设置在标题之后第一行的左侧。各单位在统计相关数据时，可根据实际情况参照上述要求自行设置表格模板。</w:t>
      </w:r>
    </w:p>
    <w:p w14:paraId="30806450">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w:t>
      </w:r>
      <w:r>
        <w:rPr>
          <w:rFonts w:hint="eastAsia" w:eastAsia="楷体_GB2312" w:cs="Times New Roman"/>
          <w:b/>
          <w:bCs/>
          <w:color w:val="000000" w:themeColor="text1"/>
          <w:kern w:val="0"/>
          <w:sz w:val="32"/>
          <w:szCs w:val="32"/>
          <w:highlight w:val="none"/>
          <w:lang w:val="en-US" w:eastAsia="zh-CN"/>
          <w14:textFill>
            <w14:solidFill>
              <w14:schemeClr w14:val="tx1"/>
            </w14:solidFill>
          </w14:textFill>
        </w:rPr>
        <w:t>二</w:t>
      </w: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）纸张型号与打印要求</w:t>
      </w:r>
    </w:p>
    <w:p w14:paraId="2C1C8056">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原始档案材料不要求纸的型号，但小于B5或纸质脆弱的材料可粘贴在A4复印纸上存放；已经完善的材料可以打印。除单页外，多页材料均需双面打印。非原始文字材料统一用A4纸打印，EXCEL表格可根据具体情况选用A4或A3纸。尚需完善修改的材料根据学校要求打印或暂时不打印。</w:t>
      </w:r>
    </w:p>
    <w:p w14:paraId="7CBDC086">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w:t>
      </w:r>
      <w:r>
        <w:rPr>
          <w:rFonts w:hint="eastAsia" w:eastAsia="楷体_GB2312" w:cs="Times New Roman"/>
          <w:b/>
          <w:bCs/>
          <w:color w:val="000000" w:themeColor="text1"/>
          <w:kern w:val="0"/>
          <w:sz w:val="32"/>
          <w:szCs w:val="32"/>
          <w:highlight w:val="none"/>
          <w:lang w:val="en-US" w:eastAsia="zh-CN"/>
          <w14:textFill>
            <w14:solidFill>
              <w14:schemeClr w14:val="tx1"/>
            </w14:solidFill>
          </w14:textFill>
        </w:rPr>
        <w:t>三</w:t>
      </w: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）装盒要求</w:t>
      </w:r>
    </w:p>
    <w:p w14:paraId="5E8B3E87">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为确保评估材料装订规范统一，所有材料盒执行统一样式，各部门和二级学院的评估材料以支撑材料目录为依据进行分类整理、编号，装入材料盒。材料盒的封面、盒脊应贴标签，扉页应贴装盒材料目录。各类标签应说明盒内材料所属的一级指标、二级指标、主要观测点、盒内材料目录名称及文件盒的编号等信息。所有材料盒统一样式，校级材料装盒由评建办负责，其他材料由各单位参照校级材料装盒样式自行完成。对于体现本部门和二级学院特色和亮点的材料，可根据实际需要单独装订成盒（册）。</w:t>
      </w:r>
    </w:p>
    <w:p w14:paraId="6C698E81">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32"/>
          <w:szCs w:val="32"/>
          <w:highlight w:val="none"/>
          <w:lang w:val="en-US" w:eastAsia="zh-CN"/>
          <w14:textFill>
            <w14:solidFill>
              <w14:schemeClr w14:val="tx1"/>
            </w14:solidFill>
          </w14:textFill>
        </w:rPr>
        <w:t>五、材料的保管与移交</w:t>
      </w:r>
    </w:p>
    <w:p w14:paraId="50BB66F6">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（一）材料的保管</w:t>
      </w:r>
    </w:p>
    <w:p w14:paraId="283148D6">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各单位须及时将所有材料集中存放，需要由学校集中保管的要及时交到评建办，由学校负责评估的工作人员或其他专职人员负责管理。未经所在单位负责人同意，所形成的材料不得外借。同时，要求材料保管人必须十分熟悉材料的陈列位置、材料的内容，以便后期能够快速查找到相应的资料。</w:t>
      </w:r>
    </w:p>
    <w:p w14:paraId="013AA007">
      <w:pPr>
        <w:pageBreakBefore w:val="0"/>
        <w:widowControl w:val="0"/>
        <w:numPr>
          <w:ilvl w:val="0"/>
          <w:numId w:val="0"/>
        </w:numPr>
        <w:shd w:val="clear" w:color="auto" w:fill="FFFFFF"/>
        <w:kinsoku/>
        <w:wordWrap/>
        <w:overflowPunct/>
        <w:topLinePunct w:val="0"/>
        <w:autoSpaceDE/>
        <w:autoSpaceDN/>
        <w:bidi w:val="0"/>
        <w:adjustRightInd w:val="0"/>
        <w:snapToGrid/>
        <w:spacing w:line="560" w:lineRule="exact"/>
        <w:ind w:leftChars="0" w:firstLine="643" w:firstLineChars="200"/>
        <w:jc w:val="both"/>
        <w:textAlignment w:val="auto"/>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0"/>
          <w:sz w:val="32"/>
          <w:szCs w:val="32"/>
          <w:highlight w:val="none"/>
          <w:lang w:val="en-US" w:eastAsia="zh-CN"/>
          <w14:textFill>
            <w14:solidFill>
              <w14:schemeClr w14:val="tx1"/>
            </w14:solidFill>
          </w14:textFill>
        </w:rPr>
        <w:t>（二）材料的移交</w:t>
      </w:r>
    </w:p>
    <w:p w14:paraId="683D8209">
      <w:pPr>
        <w:widowControl w:val="0"/>
        <w:numPr>
          <w:ilvl w:val="0"/>
          <w:numId w:val="0"/>
        </w:numPr>
        <w:shd w:val="clear" w:color="auto" w:fill="FFFFFF"/>
        <w:spacing w:line="560" w:lineRule="exact"/>
        <w:ind w:firstLine="640" w:firstLineChars="200"/>
        <w:rPr>
          <w:rFonts w:hint="default" w:ascii="Times New Roman" w:hAnsi="Times New Roman" w:cs="Times New Roman"/>
          <w:szCs w:val="32"/>
          <w:highlight w:val="none"/>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所有上报材料，</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需附“湖州学院本科教学工作合格评估材料提交清单”一式两份报送，有电子稿件的必须与纸质材料同时提交。报送的材料须经本部门和二级学院主要负责人审定，并在“材料清单”的相应位置上签字</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、加盖公章。材料报送由各单位负责评估的联络员送交相关部门，并当场办理交接手续。</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1D25BE"/>
    <w:rsid w:val="01FB30BB"/>
    <w:rsid w:val="03B54992"/>
    <w:rsid w:val="0F8D3134"/>
    <w:rsid w:val="0FBBE7EB"/>
    <w:rsid w:val="15D476DF"/>
    <w:rsid w:val="191D25BE"/>
    <w:rsid w:val="1FB358B7"/>
    <w:rsid w:val="283D06F2"/>
    <w:rsid w:val="30D2475E"/>
    <w:rsid w:val="3FAA1E11"/>
    <w:rsid w:val="41872CB2"/>
    <w:rsid w:val="47F47612"/>
    <w:rsid w:val="4C857EEB"/>
    <w:rsid w:val="66C2408A"/>
    <w:rsid w:val="6A1A4930"/>
    <w:rsid w:val="6F87568E"/>
    <w:rsid w:val="76585F18"/>
    <w:rsid w:val="7B7FAB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line="560" w:lineRule="exact"/>
      <w:jc w:val="both"/>
    </w:pPr>
    <w:rPr>
      <w:rFonts w:ascii="Times New Roman" w:hAnsi="Times New Roman" w:eastAsia="仿宋_GB2312" w:cs="Times New Roman"/>
      <w:sz w:val="32"/>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4278</Words>
  <Characters>4419</Characters>
  <Lines>0</Lines>
  <Paragraphs>0</Paragraphs>
  <TotalTime>7</TotalTime>
  <ScaleCrop>false</ScaleCrop>
  <LinksUpToDate>false</LinksUpToDate>
  <CharactersWithSpaces>4431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2025-04-30T10:58:00Z</dcterms:created>
  <dc:creator>melody</dc:creator>
  <cp:lastModifiedBy>melody</cp:lastModifiedBy>
  <dcterms:modified xsi:type="dcterms:W3CDTF">2025-05-07T01:21:03Z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2275ED40DF264EB3913A769ECCAE94F1_11</vt:lpwstr>
  </property>
  <property fmtid="{D5CDD505-2E9C-101B-9397-08002B2CF9AE}" pid="4" name="KSOTemplateDocerSaveRecord">
    <vt:lpwstr>eyJoZGlkIjoiOTUyNDY2ZTA0MDNmZjc4NDQzMGY2ODZlYWNjMjQ2ZmIiLCJ1c2VySWQiOiI1NjAxNzA2NDEifQ==</vt:lpwstr>
  </property>
</Properties>
</file>